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2F" w:rsidRDefault="008F182F">
      <w:pPr>
        <w:pStyle w:val="Heading1"/>
        <w:spacing w:after="150"/>
        <w:jc w:val="center"/>
        <w:rPr>
          <w:i/>
          <w:color w:val="0020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in;margin-top:-36pt;width:52.1pt;height:59.45pt;z-index:251658240;visibility:visible;mso-position-horizontal-relative:left-margin-area">
            <v:imagedata r:id="rId5" o:title=""/>
            <w10:wrap anchorx="margin"/>
          </v:shape>
        </w:pict>
      </w:r>
    </w:p>
    <w:p w:rsidR="008F182F" w:rsidRDefault="008F182F">
      <w:pPr>
        <w:pStyle w:val="Heading1"/>
        <w:spacing w:after="150"/>
        <w:jc w:val="center"/>
        <w:rPr>
          <w:color w:val="002060"/>
        </w:rPr>
      </w:pPr>
      <w:r>
        <w:rPr>
          <w:i/>
          <w:color w:val="002060"/>
        </w:rPr>
        <w:t>Киселёвская городская организация общероссийского профсоюза образования</w:t>
      </w:r>
    </w:p>
    <w:p w:rsidR="008F182F" w:rsidRDefault="008F182F">
      <w:pPr>
        <w:pStyle w:val="Heading1"/>
        <w:spacing w:after="150"/>
        <w:jc w:val="center"/>
        <w:rPr>
          <w:color w:val="002060"/>
        </w:rPr>
      </w:pPr>
    </w:p>
    <w:p w:rsidR="008F182F" w:rsidRDefault="008F182F">
      <w:pPr>
        <w:pStyle w:val="Heading1"/>
        <w:spacing w:after="150"/>
        <w:jc w:val="center"/>
        <w:rPr>
          <w:sz w:val="36"/>
        </w:rPr>
      </w:pPr>
      <w:r>
        <w:rPr>
          <w:sz w:val="36"/>
        </w:rPr>
        <w:t xml:space="preserve"> </w:t>
      </w:r>
    </w:p>
    <w:p w:rsidR="008F182F" w:rsidRDefault="008F182F">
      <w:pPr>
        <w:pStyle w:val="Heading1"/>
        <w:spacing w:after="150"/>
        <w:jc w:val="center"/>
      </w:pPr>
      <w:r w:rsidRPr="005A2093">
        <w:rPr>
          <w:noProof/>
          <w:sz w:val="24"/>
        </w:rPr>
        <w:pict>
          <v:shape id="Picture 4" o:spid="_x0000_i1025" type="#_x0000_t75" style="width:246pt;height:186pt;visibility:visible">
            <v:imagedata r:id="rId6" o:title=""/>
          </v:shape>
        </w:pict>
      </w:r>
    </w:p>
    <w:p w:rsidR="008F182F" w:rsidRDefault="008F182F">
      <w:pPr>
        <w:pStyle w:val="Heading1"/>
        <w:spacing w:after="150"/>
        <w:jc w:val="center"/>
        <w:rPr>
          <w:color w:val="002060"/>
        </w:rPr>
      </w:pPr>
      <w:r>
        <w:rPr>
          <w:color w:val="002060"/>
        </w:rPr>
        <w:t>ИНФОРМАЦИОННО-</w:t>
      </w:r>
      <w:bookmarkStart w:id="0" w:name="_GoBack"/>
      <w:bookmarkEnd w:id="0"/>
      <w:r>
        <w:rPr>
          <w:color w:val="002060"/>
        </w:rPr>
        <w:t xml:space="preserve">АНАЛИТИЧЕСКИЙ </w:t>
      </w:r>
    </w:p>
    <w:p w:rsidR="008F182F" w:rsidRDefault="008F182F">
      <w:pPr>
        <w:pStyle w:val="Heading1"/>
        <w:spacing w:after="150"/>
        <w:jc w:val="center"/>
        <w:rPr>
          <w:color w:val="002060"/>
          <w:sz w:val="72"/>
        </w:rPr>
      </w:pPr>
      <w:r>
        <w:rPr>
          <w:color w:val="002060"/>
          <w:sz w:val="72"/>
        </w:rPr>
        <w:t>БЮЛЛЕТЕНЬ</w:t>
      </w: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jc w:val="center"/>
        <w:rPr>
          <w:rFonts w:ascii="Arial Narrow" w:hAnsi="Arial Narrow"/>
          <w:b/>
          <w:color w:val="FF0000"/>
          <w:sz w:val="40"/>
          <w:u w:val="single"/>
        </w:rPr>
      </w:pPr>
      <w:r>
        <w:rPr>
          <w:rFonts w:ascii="Arial Narrow" w:hAnsi="Arial Narrow"/>
          <w:b/>
          <w:color w:val="FF0000"/>
          <w:sz w:val="40"/>
          <w:u w:val="single"/>
        </w:rPr>
        <w:t>I.</w:t>
      </w:r>
      <w:r>
        <w:rPr>
          <w:rFonts w:ascii="Arial Narrow" w:hAnsi="Arial Narrow"/>
          <w:b/>
          <w:color w:val="008000"/>
          <w:sz w:val="40"/>
          <w:u w:val="single"/>
        </w:rPr>
        <w:t xml:space="preserve"> </w:t>
      </w:r>
      <w:r>
        <w:rPr>
          <w:rFonts w:ascii="Arial Narrow" w:hAnsi="Arial Narrow"/>
          <w:b/>
          <w:color w:val="FF0000"/>
          <w:sz w:val="40"/>
          <w:u w:val="single"/>
        </w:rPr>
        <w:t>С 1 МАРТА 2022 ГОДА ВВОДЯТСЯ В ДЕЙСТВИЕ ПОПРАВКИ В ТРУДОВОЙ КОДЕКС РОССИЙСКОЙ ФЕДЕРАЦИИ,</w:t>
      </w:r>
    </w:p>
    <w:p w:rsidR="008F182F" w:rsidRDefault="008F182F">
      <w:pPr>
        <w:spacing w:before="200"/>
        <w:jc w:val="both"/>
        <w:rPr>
          <w:color w:val="000080"/>
          <w:sz w:val="28"/>
        </w:rPr>
      </w:pPr>
      <w:r>
        <w:rPr>
          <w:color w:val="000080"/>
          <w:sz w:val="28"/>
        </w:rPr>
        <w:t xml:space="preserve"> касающиеся охраны труда в частности:</w:t>
      </w:r>
    </w:p>
    <w:p w:rsidR="008F182F" w:rsidRDefault="008F182F">
      <w:pPr>
        <w:numPr>
          <w:ilvl w:val="0"/>
          <w:numId w:val="1"/>
        </w:numPr>
        <w:tabs>
          <w:tab w:val="clear" w:pos="720"/>
        </w:tabs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>- разграничены полномочия Правительства РФ, федеральных органов исполнительной власти, органов исполнительной власти субъектов РФ в области охраны труда;</w:t>
      </w:r>
    </w:p>
    <w:p w:rsidR="008F182F" w:rsidRDefault="008F182F">
      <w:pPr>
        <w:numPr>
          <w:ilvl w:val="0"/>
          <w:numId w:val="1"/>
        </w:numPr>
        <w:tabs>
          <w:tab w:val="clear" w:pos="720"/>
          <w:tab w:val="left" w:pos="540"/>
        </w:tabs>
        <w:spacing w:before="200"/>
        <w:ind w:left="0" w:firstLine="360"/>
        <w:jc w:val="both"/>
        <w:rPr>
          <w:color w:val="000080"/>
          <w:sz w:val="28"/>
        </w:rPr>
      </w:pPr>
      <w:r>
        <w:rPr>
          <w:noProof/>
        </w:rPr>
        <w:pict>
          <v:shape id="Picture 6" o:spid="_x0000_s1027" type="#_x0000_t75" style="position:absolute;left:0;text-align:left;margin-left:-36pt;margin-top:-77.7pt;width:67.5pt;height:168.75pt;z-index:-251657216;visibility:visible" wrapcoords="-240 0 -240 21504 21600 21504 21600 0 -240 0">
            <v:imagedata r:id="rId7" o:title=""/>
            <w10:wrap type="tight"/>
          </v:shape>
        </w:pict>
      </w:r>
      <w:r>
        <w:rPr>
          <w:color w:val="000080"/>
          <w:sz w:val="28"/>
        </w:rPr>
        <w:t>- в перечень основных понятий добавлен термин "опасность", сформулированы основные принципы обеспечения безопасных условий труда - предупреждение, профилактика опасностей и минимизация повреждения здоровья работников;</w:t>
      </w:r>
    </w:p>
    <w:p w:rsidR="008F182F" w:rsidRDefault="008F182F">
      <w:pPr>
        <w:numPr>
          <w:ilvl w:val="0"/>
          <w:numId w:val="1"/>
        </w:numPr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>- в новой редакции изложены государственные нормативные требования охраны труда и национальные стандарты безопасности труда, а также порядок осуществления государственной экспертизы условий труда;</w:t>
      </w:r>
    </w:p>
    <w:p w:rsidR="008F182F" w:rsidRDefault="008F182F">
      <w:pPr>
        <w:numPr>
          <w:ilvl w:val="0"/>
          <w:numId w:val="1"/>
        </w:numPr>
        <w:tabs>
          <w:tab w:val="clear" w:pos="720"/>
          <w:tab w:val="left" w:pos="540"/>
        </w:tabs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>- установлен порядок соответствия зданий, сооружений, оборудования, технологических процессов и материалов государственным нормативным требованиям охраны труда;</w:t>
      </w:r>
    </w:p>
    <w:p w:rsidR="008F182F" w:rsidRDefault="008F182F">
      <w:pPr>
        <w:numPr>
          <w:ilvl w:val="0"/>
          <w:numId w:val="1"/>
        </w:numPr>
        <w:tabs>
          <w:tab w:val="clear" w:pos="720"/>
          <w:tab w:val="left" w:pos="360"/>
        </w:tabs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>- в новой редакции изложены обязанности и права работодателя, а также обязанности и права работника в области охраны труда;</w:t>
      </w:r>
    </w:p>
    <w:p w:rsidR="008F182F" w:rsidRDefault="008F182F">
      <w:pPr>
        <w:numPr>
          <w:ilvl w:val="0"/>
          <w:numId w:val="1"/>
        </w:numPr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>регламентирован порядок введения запрета на работу в опасных условиях труда. Работодатель обязан приостановить работу, если по результатам спецоценки условиям труда на рабочем месте присвоен 4-й класс. При этом в случае выявления такой опасности на рабочих местах за работниками на время приостановки работ сохраняется место (должность) и средний заработок. Возобновить деятельность можно только после получения результатов повторной спецоценки, которая подтвердит снижение уровня опасности;</w:t>
      </w:r>
    </w:p>
    <w:p w:rsidR="008F182F" w:rsidRDefault="008F182F">
      <w:pPr>
        <w:numPr>
          <w:ilvl w:val="0"/>
          <w:numId w:val="1"/>
        </w:numPr>
        <w:tabs>
          <w:tab w:val="clear" w:pos="720"/>
          <w:tab w:val="left" w:pos="540"/>
        </w:tabs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 xml:space="preserve"> в новой редакции изложены гарантии права работников на труд в условиях, соответствующих требованиям охраны труда;</w:t>
      </w:r>
    </w:p>
    <w:p w:rsidR="008F182F" w:rsidRDefault="008F182F">
      <w:pPr>
        <w:numPr>
          <w:ilvl w:val="0"/>
          <w:numId w:val="1"/>
        </w:numPr>
        <w:tabs>
          <w:tab w:val="clear" w:pos="720"/>
          <w:tab w:val="left" w:pos="540"/>
        </w:tabs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 xml:space="preserve"> закреплены права работников на получение информации об условиях и охране труда, а также права работников на санитарно-бытовое обслуживание;</w:t>
      </w:r>
    </w:p>
    <w:p w:rsidR="008F182F" w:rsidRDefault="008F182F">
      <w:pPr>
        <w:numPr>
          <w:ilvl w:val="0"/>
          <w:numId w:val="1"/>
        </w:numPr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>установлен порядок управления профессиональными рисками на рабочих местах. Рекомендации по выбору методов оценки уровней профессиональных рисков и по их снижению утверждаются федеральным органом исполнительной власти в сфере труда;</w:t>
      </w:r>
    </w:p>
    <w:p w:rsidR="008F182F" w:rsidRDefault="008F182F">
      <w:pPr>
        <w:numPr>
          <w:ilvl w:val="0"/>
          <w:numId w:val="1"/>
        </w:numPr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>в новой редакции изложены правила обучения по охране труда, правила проведения медицинских осмотров некоторых категорий работников, правила обеспечения работников средствами индивидуальной защиты (в частности, обеспечение СИЗ будет осуществляться с учетом имеющихся на рабочем месте вредных производственных факторов, а не в зависимости от профессии занятого на конкретном рабочем месте работника), порядок обеспечения работников молоком или другими равноценными пищевыми продуктами, лечебно</w:t>
      </w:r>
      <w:r>
        <w:rPr>
          <w:sz w:val="28"/>
        </w:rPr>
        <w:t>-</w:t>
      </w:r>
      <w:r>
        <w:rPr>
          <w:color w:val="000080"/>
          <w:sz w:val="28"/>
        </w:rPr>
        <w:t>профилактическим питанием;</w:t>
      </w:r>
    </w:p>
    <w:p w:rsidR="008F182F" w:rsidRDefault="008F182F">
      <w:pPr>
        <w:numPr>
          <w:ilvl w:val="0"/>
          <w:numId w:val="1"/>
        </w:numPr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>определен порядок создания службы охраны труда у работодателя, а также комитетов (комиссий) по охране труда. Структуру и численность работников службы охраны труда устанавливает работодатель с учетом рекомендаций федерального органа исполнительной власти в сфере труда. При отсутствии в организации службы охраны труда или специалиста по охране труда их функции выполняет сам работодатель либо уполномоченный на это сотрудник. Также работодатель вправе пригласить стороннюю организацию, которая оказывает услуги в области охраны труда и имеет соответствующую аккредитацию;</w:t>
      </w:r>
    </w:p>
    <w:p w:rsidR="008F182F" w:rsidRDefault="008F182F">
      <w:pPr>
        <w:numPr>
          <w:ilvl w:val="0"/>
          <w:numId w:val="1"/>
        </w:numPr>
        <w:spacing w:before="200"/>
        <w:ind w:left="0" w:firstLine="360"/>
        <w:jc w:val="both"/>
        <w:rPr>
          <w:color w:val="000080"/>
          <w:sz w:val="28"/>
        </w:rPr>
      </w:pPr>
      <w:r>
        <w:rPr>
          <w:color w:val="000080"/>
          <w:sz w:val="28"/>
        </w:rPr>
        <w:t>определены порядок и условия финансирования мероприятий по улучшению условий и охраны труда за счет средств федерального бюджета, бюджетов субъектов РФ, местных бюджетов, внебюджетных источников, добровольных взносов организаций и физических лиц, а также работодателей;</w:t>
      </w:r>
    </w:p>
    <w:p w:rsidR="008F182F" w:rsidRDefault="008F182F">
      <w:pPr>
        <w:numPr>
          <w:ilvl w:val="0"/>
          <w:numId w:val="1"/>
        </w:numPr>
        <w:spacing w:before="200"/>
        <w:ind w:left="0" w:firstLine="360"/>
        <w:jc w:val="both"/>
        <w:rPr>
          <w:rFonts w:ascii="Arial" w:hAnsi="Arial"/>
          <w:color w:val="000080"/>
          <w:sz w:val="28"/>
        </w:rPr>
      </w:pPr>
      <w:r>
        <w:rPr>
          <w:color w:val="000080"/>
          <w:sz w:val="28"/>
        </w:rPr>
        <w:t>установлен порядок расследования, оформления (рассмотрения), учета микроповреждений (микротравм), несчастных случаев на производстве</w:t>
      </w:r>
      <w:r>
        <w:rPr>
          <w:rFonts w:ascii="Arial" w:hAnsi="Arial"/>
          <w:color w:val="000080"/>
          <w:sz w:val="28"/>
        </w:rPr>
        <w:t>.</w:t>
      </w:r>
    </w:p>
    <w:p w:rsidR="008F182F" w:rsidRDefault="008F182F">
      <w:pPr>
        <w:jc w:val="center"/>
        <w:rPr>
          <w:b/>
          <w:color w:val="800000"/>
        </w:rPr>
      </w:pPr>
    </w:p>
    <w:p w:rsidR="008F182F" w:rsidRDefault="008F182F">
      <w:pPr>
        <w:jc w:val="center"/>
        <w:rPr>
          <w:b/>
          <w:color w:val="800000"/>
        </w:rPr>
      </w:pPr>
    </w:p>
    <w:p w:rsidR="008F182F" w:rsidRDefault="008F182F">
      <w:pPr>
        <w:jc w:val="center"/>
        <w:rPr>
          <w:b/>
          <w:color w:val="800000"/>
          <w:sz w:val="32"/>
          <w:u w:val="single"/>
        </w:rPr>
      </w:pPr>
      <w:r>
        <w:rPr>
          <w:b/>
          <w:color w:val="800000"/>
          <w:sz w:val="32"/>
          <w:u w:val="single"/>
        </w:rPr>
        <w:t>Федеральный закон от 02.07.2021 № 311-ФЗ "О внесении изменений в Трудовой кодекс Российской Федерации"</w:t>
      </w:r>
    </w:p>
    <w:p w:rsidR="008F182F" w:rsidRDefault="008F182F">
      <w:pPr>
        <w:jc w:val="center"/>
        <w:rPr>
          <w:b/>
          <w:color w:val="800000"/>
          <w:sz w:val="32"/>
          <w:u w:val="single"/>
        </w:rPr>
      </w:pPr>
      <w:r>
        <w:rPr>
          <w:b/>
          <w:color w:val="800000"/>
          <w:sz w:val="32"/>
          <w:u w:val="single"/>
        </w:rPr>
        <w:t>вступает в силу с 1 марта 2022 года.</w:t>
      </w:r>
    </w:p>
    <w:p w:rsidR="008F182F" w:rsidRDefault="008F182F">
      <w:pPr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  <w:r>
        <w:rPr>
          <w:noProof/>
        </w:rPr>
        <w:pict>
          <v:shape id="Picture 8" o:spid="_x0000_s1028" type="#_x0000_t75" style="position:absolute;left:0;text-align:left;margin-left:135pt;margin-top:9.05pt;width:198pt;height:129.6pt;z-index:-251656192;visibility:visible" wrapcoords="-360 0 -360 21373 21600 21373 21600 0 -360 0">
            <v:imagedata r:id="rId8" o:title=""/>
            <w10:wrap type="tight"/>
          </v:shape>
        </w:pict>
      </w: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>
      <w:pPr>
        <w:ind w:left="1080"/>
        <w:rPr>
          <w:color w:val="538135"/>
        </w:rPr>
      </w:pPr>
    </w:p>
    <w:p w:rsidR="008F182F" w:rsidRDefault="008F182F"/>
    <w:sectPr w:rsidR="008F182F" w:rsidSect="002716D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156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6D5"/>
    <w:rsid w:val="0013590E"/>
    <w:rsid w:val="002716D5"/>
    <w:rsid w:val="002D2E60"/>
    <w:rsid w:val="005A2093"/>
    <w:rsid w:val="008F1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D5"/>
    <w:rPr>
      <w:rFonts w:ascii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2716D5"/>
    <w:pPr>
      <w:spacing w:beforeAutospacing="1" w:afterAutospacing="1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16D5"/>
    <w:pPr>
      <w:spacing w:before="120" w:after="120"/>
      <w:jc w:val="both"/>
      <w:outlineLvl w:val="1"/>
    </w:pPr>
    <w:rPr>
      <w:rFonts w:ascii="XO Thames" w:hAnsi="XO Thames"/>
      <w:b/>
      <w:color w:val="auto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16D5"/>
    <w:pPr>
      <w:spacing w:before="120" w:after="120"/>
      <w:jc w:val="both"/>
      <w:outlineLvl w:val="2"/>
    </w:pPr>
    <w:rPr>
      <w:rFonts w:ascii="XO Thames" w:hAnsi="XO Thames"/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16D5"/>
    <w:pPr>
      <w:spacing w:before="120" w:after="120"/>
      <w:jc w:val="both"/>
      <w:outlineLvl w:val="3"/>
    </w:pPr>
    <w:rPr>
      <w:rFonts w:ascii="XO Thames" w:hAnsi="XO Thames"/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16D5"/>
    <w:pPr>
      <w:spacing w:before="120" w:after="120"/>
      <w:jc w:val="both"/>
      <w:outlineLvl w:val="4"/>
    </w:pPr>
    <w:rPr>
      <w:rFonts w:ascii="XO Thames" w:hAnsi="XO Thames"/>
      <w:b/>
      <w:color w:val="auto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Normal1"/>
    <w:link w:val="Heading1"/>
    <w:uiPriority w:val="99"/>
    <w:locked/>
    <w:rsid w:val="002716D5"/>
    <w:rPr>
      <w:rFonts w:cs="Times New Roman"/>
      <w:b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16D5"/>
    <w:rPr>
      <w:rFonts w:ascii="XO Thames" w:hAnsi="XO Thames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16D5"/>
    <w:rPr>
      <w:rFonts w:ascii="XO Thames" w:hAnsi="XO Thames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16D5"/>
    <w:rPr>
      <w:rFonts w:ascii="XO Thames" w:hAnsi="XO Thames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16D5"/>
    <w:rPr>
      <w:rFonts w:ascii="XO Thames" w:hAnsi="XO Thames"/>
      <w:b/>
      <w:sz w:val="22"/>
    </w:rPr>
  </w:style>
  <w:style w:type="character" w:customStyle="1" w:styleId="Normal1">
    <w:name w:val="Normal1"/>
    <w:uiPriority w:val="99"/>
    <w:rsid w:val="002716D5"/>
    <w:rPr>
      <w:rFonts w:ascii="Times New Roman" w:hAnsi="Times New Roman"/>
      <w:sz w:val="24"/>
    </w:rPr>
  </w:style>
  <w:style w:type="paragraph" w:styleId="TOC2">
    <w:name w:val="toc 2"/>
    <w:basedOn w:val="Normal"/>
    <w:next w:val="Normal"/>
    <w:link w:val="TOC2Char"/>
    <w:uiPriority w:val="99"/>
    <w:rsid w:val="002716D5"/>
    <w:pPr>
      <w:ind w:left="200"/>
    </w:pPr>
    <w:rPr>
      <w:rFonts w:ascii="XO Thames" w:hAnsi="XO Thames"/>
      <w:color w:val="auto"/>
      <w:sz w:val="28"/>
    </w:rPr>
  </w:style>
  <w:style w:type="character" w:customStyle="1" w:styleId="TOC2Char">
    <w:name w:val="TOC 2 Char"/>
    <w:link w:val="TOC2"/>
    <w:uiPriority w:val="99"/>
    <w:locked/>
    <w:rsid w:val="002716D5"/>
    <w:rPr>
      <w:rFonts w:ascii="XO Thames" w:hAnsi="XO Thames"/>
      <w:sz w:val="28"/>
    </w:rPr>
  </w:style>
  <w:style w:type="paragraph" w:styleId="TOC4">
    <w:name w:val="toc 4"/>
    <w:basedOn w:val="Normal"/>
    <w:next w:val="Normal"/>
    <w:link w:val="TOC4Char"/>
    <w:uiPriority w:val="99"/>
    <w:rsid w:val="002716D5"/>
    <w:pPr>
      <w:ind w:left="600"/>
    </w:pPr>
    <w:rPr>
      <w:rFonts w:ascii="XO Thames" w:hAnsi="XO Thames"/>
      <w:color w:val="auto"/>
      <w:sz w:val="28"/>
    </w:rPr>
  </w:style>
  <w:style w:type="character" w:customStyle="1" w:styleId="TOC4Char">
    <w:name w:val="TOC 4 Char"/>
    <w:link w:val="TOC4"/>
    <w:uiPriority w:val="99"/>
    <w:locked/>
    <w:rsid w:val="002716D5"/>
    <w:rPr>
      <w:rFonts w:ascii="XO Thames" w:hAnsi="XO Thames"/>
      <w:sz w:val="28"/>
    </w:rPr>
  </w:style>
  <w:style w:type="paragraph" w:styleId="TOC6">
    <w:name w:val="toc 6"/>
    <w:basedOn w:val="Normal"/>
    <w:next w:val="Normal"/>
    <w:link w:val="TOC6Char"/>
    <w:uiPriority w:val="99"/>
    <w:rsid w:val="002716D5"/>
    <w:pPr>
      <w:ind w:left="1000"/>
    </w:pPr>
    <w:rPr>
      <w:rFonts w:ascii="XO Thames" w:hAnsi="XO Thames"/>
      <w:color w:val="auto"/>
      <w:sz w:val="28"/>
    </w:rPr>
  </w:style>
  <w:style w:type="character" w:customStyle="1" w:styleId="TOC6Char">
    <w:name w:val="TOC 6 Char"/>
    <w:link w:val="TOC6"/>
    <w:uiPriority w:val="99"/>
    <w:locked/>
    <w:rsid w:val="002716D5"/>
    <w:rPr>
      <w:rFonts w:ascii="XO Thames" w:hAnsi="XO Thames"/>
      <w:sz w:val="28"/>
    </w:rPr>
  </w:style>
  <w:style w:type="paragraph" w:styleId="TOC7">
    <w:name w:val="toc 7"/>
    <w:basedOn w:val="Normal"/>
    <w:next w:val="Normal"/>
    <w:link w:val="TOC7Char"/>
    <w:uiPriority w:val="99"/>
    <w:rsid w:val="002716D5"/>
    <w:pPr>
      <w:ind w:left="1200"/>
    </w:pPr>
    <w:rPr>
      <w:rFonts w:ascii="XO Thames" w:hAnsi="XO Thames"/>
      <w:color w:val="auto"/>
      <w:sz w:val="28"/>
    </w:rPr>
  </w:style>
  <w:style w:type="character" w:customStyle="1" w:styleId="TOC7Char">
    <w:name w:val="TOC 7 Char"/>
    <w:link w:val="TOC7"/>
    <w:uiPriority w:val="99"/>
    <w:locked/>
    <w:rsid w:val="002716D5"/>
    <w:rPr>
      <w:rFonts w:ascii="XO Thames" w:hAnsi="XO Thames"/>
      <w:sz w:val="28"/>
    </w:rPr>
  </w:style>
  <w:style w:type="paragraph" w:styleId="TOC3">
    <w:name w:val="toc 3"/>
    <w:basedOn w:val="Normal"/>
    <w:next w:val="Normal"/>
    <w:link w:val="TOC3Char"/>
    <w:uiPriority w:val="99"/>
    <w:rsid w:val="002716D5"/>
    <w:pPr>
      <w:ind w:left="400"/>
    </w:pPr>
    <w:rPr>
      <w:rFonts w:ascii="XO Thames" w:hAnsi="XO Thames"/>
      <w:color w:val="auto"/>
      <w:sz w:val="28"/>
    </w:rPr>
  </w:style>
  <w:style w:type="character" w:customStyle="1" w:styleId="TOC3Char">
    <w:name w:val="TOC 3 Char"/>
    <w:link w:val="TOC3"/>
    <w:uiPriority w:val="99"/>
    <w:locked/>
    <w:rsid w:val="002716D5"/>
    <w:rPr>
      <w:rFonts w:ascii="XO Thames" w:hAnsi="XO Thames"/>
      <w:sz w:val="28"/>
    </w:rPr>
  </w:style>
  <w:style w:type="paragraph" w:customStyle="1" w:styleId="Hyperlink1">
    <w:name w:val="Hyperlink1"/>
    <w:link w:val="Hyperlink"/>
    <w:uiPriority w:val="99"/>
    <w:rsid w:val="002716D5"/>
    <w:pPr>
      <w:spacing w:after="160" w:line="264" w:lineRule="auto"/>
    </w:pPr>
    <w:rPr>
      <w:color w:val="0000FF"/>
      <w:szCs w:val="20"/>
      <w:u w:val="single"/>
    </w:rPr>
  </w:style>
  <w:style w:type="character" w:styleId="Hyperlink">
    <w:name w:val="Hyperlink"/>
    <w:basedOn w:val="DefaultParagraphFont"/>
    <w:link w:val="Hyperlink1"/>
    <w:uiPriority w:val="99"/>
    <w:locked/>
    <w:rsid w:val="002716D5"/>
    <w:rPr>
      <w:rFonts w:cs="Times New Roman"/>
      <w:color w:val="0000FF"/>
      <w:sz w:val="22"/>
      <w:u w:val="single"/>
    </w:rPr>
  </w:style>
  <w:style w:type="paragraph" w:customStyle="1" w:styleId="Footnote">
    <w:name w:val="Footnote"/>
    <w:link w:val="Footnote1"/>
    <w:uiPriority w:val="99"/>
    <w:rsid w:val="002716D5"/>
    <w:pPr>
      <w:ind w:firstLine="851"/>
      <w:jc w:val="both"/>
    </w:pPr>
    <w:rPr>
      <w:rFonts w:ascii="XO Thames" w:hAnsi="XO Thames"/>
      <w:szCs w:val="20"/>
    </w:rPr>
  </w:style>
  <w:style w:type="character" w:customStyle="1" w:styleId="Footnote1">
    <w:name w:val="Footnote1"/>
    <w:link w:val="Footnote"/>
    <w:uiPriority w:val="99"/>
    <w:locked/>
    <w:rsid w:val="002716D5"/>
    <w:rPr>
      <w:rFonts w:ascii="XO Thames" w:hAnsi="XO Thames"/>
      <w:sz w:val="22"/>
    </w:rPr>
  </w:style>
  <w:style w:type="paragraph" w:styleId="TOC1">
    <w:name w:val="toc 1"/>
    <w:basedOn w:val="Normal"/>
    <w:next w:val="Normal"/>
    <w:link w:val="TOC1Char"/>
    <w:uiPriority w:val="99"/>
    <w:rsid w:val="002716D5"/>
    <w:pPr>
      <w:spacing w:after="160" w:line="264" w:lineRule="auto"/>
    </w:pPr>
    <w:rPr>
      <w:rFonts w:ascii="XO Thames" w:hAnsi="XO Thames"/>
      <w:b/>
      <w:color w:val="auto"/>
      <w:sz w:val="28"/>
    </w:rPr>
  </w:style>
  <w:style w:type="character" w:customStyle="1" w:styleId="TOC1Char">
    <w:name w:val="TOC 1 Char"/>
    <w:link w:val="TOC1"/>
    <w:uiPriority w:val="99"/>
    <w:locked/>
    <w:rsid w:val="002716D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uiPriority w:val="99"/>
    <w:rsid w:val="002716D5"/>
    <w:pPr>
      <w:jc w:val="both"/>
    </w:pPr>
    <w:rPr>
      <w:rFonts w:ascii="XO Thames" w:hAnsi="XO Thames"/>
      <w:color w:val="000000"/>
      <w:szCs w:val="20"/>
    </w:rPr>
  </w:style>
  <w:style w:type="character" w:customStyle="1" w:styleId="HeaderandFooter1">
    <w:name w:val="Header and Footer1"/>
    <w:link w:val="HeaderandFooter"/>
    <w:uiPriority w:val="99"/>
    <w:locked/>
    <w:rsid w:val="002716D5"/>
    <w:rPr>
      <w:rFonts w:ascii="XO Thames" w:hAnsi="XO Thames"/>
      <w:color w:val="000000"/>
      <w:sz w:val="22"/>
      <w:lang w:val="ru-RU" w:eastAsia="ru-RU"/>
    </w:rPr>
  </w:style>
  <w:style w:type="paragraph" w:styleId="TOC9">
    <w:name w:val="toc 9"/>
    <w:basedOn w:val="Normal"/>
    <w:next w:val="Normal"/>
    <w:link w:val="TOC9Char"/>
    <w:uiPriority w:val="99"/>
    <w:rsid w:val="002716D5"/>
    <w:pPr>
      <w:ind w:left="1600"/>
    </w:pPr>
    <w:rPr>
      <w:rFonts w:ascii="XO Thames" w:hAnsi="XO Thames"/>
      <w:color w:val="auto"/>
      <w:sz w:val="28"/>
    </w:rPr>
  </w:style>
  <w:style w:type="character" w:customStyle="1" w:styleId="TOC9Char">
    <w:name w:val="TOC 9 Char"/>
    <w:link w:val="TOC9"/>
    <w:uiPriority w:val="99"/>
    <w:locked/>
    <w:rsid w:val="002716D5"/>
    <w:rPr>
      <w:rFonts w:ascii="XO Thames" w:hAnsi="XO Thames"/>
      <w:sz w:val="28"/>
    </w:rPr>
  </w:style>
  <w:style w:type="paragraph" w:styleId="TOC8">
    <w:name w:val="toc 8"/>
    <w:basedOn w:val="Normal"/>
    <w:next w:val="Normal"/>
    <w:link w:val="TOC8Char"/>
    <w:uiPriority w:val="99"/>
    <w:rsid w:val="002716D5"/>
    <w:pPr>
      <w:ind w:left="1400"/>
    </w:pPr>
    <w:rPr>
      <w:rFonts w:ascii="XO Thames" w:hAnsi="XO Thames"/>
      <w:color w:val="auto"/>
      <w:sz w:val="28"/>
    </w:rPr>
  </w:style>
  <w:style w:type="character" w:customStyle="1" w:styleId="TOC8Char">
    <w:name w:val="TOC 8 Char"/>
    <w:link w:val="TOC8"/>
    <w:uiPriority w:val="99"/>
    <w:locked/>
    <w:rsid w:val="002716D5"/>
    <w:rPr>
      <w:rFonts w:ascii="XO Thames" w:hAnsi="XO Thames"/>
      <w:sz w:val="28"/>
    </w:rPr>
  </w:style>
  <w:style w:type="paragraph" w:styleId="TOC5">
    <w:name w:val="toc 5"/>
    <w:basedOn w:val="Normal"/>
    <w:next w:val="Normal"/>
    <w:link w:val="TOC5Char"/>
    <w:uiPriority w:val="99"/>
    <w:rsid w:val="002716D5"/>
    <w:pPr>
      <w:ind w:left="800"/>
    </w:pPr>
    <w:rPr>
      <w:rFonts w:ascii="XO Thames" w:hAnsi="XO Thames"/>
      <w:color w:val="auto"/>
      <w:sz w:val="28"/>
    </w:rPr>
  </w:style>
  <w:style w:type="character" w:customStyle="1" w:styleId="TOC5Char">
    <w:name w:val="TOC 5 Char"/>
    <w:link w:val="TOC5"/>
    <w:uiPriority w:val="99"/>
    <w:locked/>
    <w:rsid w:val="002716D5"/>
    <w:rPr>
      <w:rFonts w:ascii="XO Thames" w:hAnsi="XO Thames"/>
      <w:sz w:val="28"/>
    </w:rPr>
  </w:style>
  <w:style w:type="paragraph" w:customStyle="1" w:styleId="DefaultParagraphFont1">
    <w:name w:val="Default Paragraph Font1"/>
    <w:uiPriority w:val="99"/>
    <w:rsid w:val="002716D5"/>
    <w:pPr>
      <w:spacing w:after="160" w:line="264" w:lineRule="auto"/>
    </w:pPr>
    <w:rPr>
      <w:color w:val="00000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2716D5"/>
    <w:pPr>
      <w:jc w:val="both"/>
    </w:pPr>
    <w:rPr>
      <w:rFonts w:ascii="XO Thames" w:hAnsi="XO Thames"/>
      <w:i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16D5"/>
    <w:rPr>
      <w:rFonts w:ascii="XO Thames" w:hAnsi="XO Thames"/>
      <w:i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716D5"/>
    <w:pPr>
      <w:spacing w:before="567" w:after="567"/>
      <w:jc w:val="center"/>
    </w:pPr>
    <w:rPr>
      <w:rFonts w:ascii="XO Thames" w:hAnsi="XO Thames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2716D5"/>
    <w:rPr>
      <w:rFonts w:ascii="XO Thames" w:hAnsi="XO Thames"/>
      <w:b/>
      <w:cap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562</Words>
  <Characters>3208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2024-04-15T03:04:00Z</dcterms:created>
  <dcterms:modified xsi:type="dcterms:W3CDTF">2024-04-15T03:05:00Z</dcterms:modified>
</cp:coreProperties>
</file>